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5A28">
      <w:pPr>
        <w:keepNext w:val="0"/>
        <w:keepLines w:val="0"/>
        <w:widowControl/>
        <w:suppressLineNumbers w:val="0"/>
        <w:spacing w:before="0" w:beforeAutospacing="0" w:after="160" w:afterAutospacing="0" w:line="256" w:lineRule="auto"/>
        <w:ind w:left="0" w:right="0"/>
        <w:jc w:val="both"/>
        <w:rPr>
          <w:rFonts w:hint="eastAsia" w:ascii="Calibri" w:hAnsi="Calibri" w:eastAsia="Calibri" w:cs="Times New Roman"/>
          <w:b/>
          <w:bCs/>
          <w:kern w:val="2"/>
          <w:sz w:val="24"/>
          <w:szCs w:val="24"/>
          <w:lang w:eastAsia="zh-CN" w:bidi="ar"/>
        </w:rPr>
      </w:pPr>
      <w:r>
        <w:rPr>
          <w:rFonts w:hint="default" w:ascii="Calibri" w:hAnsi="Calibri" w:eastAsia="Calibri" w:cs="Times New Roman"/>
          <w:b/>
          <w:bCs/>
          <w:kern w:val="2"/>
          <w:sz w:val="24"/>
          <w:szCs w:val="24"/>
          <w:lang w:val="es-ES" w:eastAsia="zh-CN" w:bidi="ar"/>
        </w:rPr>
        <w:t xml:space="preserve">AYUNTAMIENTO DE </w:t>
      </w:r>
      <w:r>
        <w:rPr>
          <w:rFonts w:hint="eastAsia" w:ascii="Calibri" w:hAnsi="Calibri" w:eastAsia="Calibri" w:cs="Times New Roman"/>
          <w:b/>
          <w:bCs/>
          <w:kern w:val="2"/>
          <w:sz w:val="24"/>
          <w:szCs w:val="24"/>
          <w:lang w:eastAsia="zh-CN" w:bidi="ar"/>
        </w:rPr>
        <w:t xml:space="preserve"> [LOCALIDAD]</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b/>
          <w:bCs/>
          <w:kern w:val="2"/>
          <w:sz w:val="24"/>
          <w:szCs w:val="24"/>
          <w:lang w:eastAsia="zh-CN" w:bidi="ar"/>
        </w:rPr>
        <w:t>[Domicilio del Ayuntamiento]</w:t>
      </w:r>
    </w:p>
    <w:p w14:paraId="6677944D">
      <w:pPr>
        <w:keepNext w:val="0"/>
        <w:keepLines w:val="0"/>
        <w:widowControl/>
        <w:suppressLineNumbers w:val="0"/>
        <w:spacing w:before="0" w:beforeAutospacing="0" w:after="160" w:afterAutospacing="0" w:line="256" w:lineRule="auto"/>
        <w:ind w:left="0" w:right="0"/>
        <w:jc w:val="both"/>
        <w:rPr>
          <w:rFonts w:hint="eastAsia" w:ascii="Calibri" w:hAnsi="Calibri" w:eastAsia="Calibri" w:cs="Times New Roman"/>
          <w:b/>
          <w:bCs/>
          <w:kern w:val="2"/>
          <w:sz w:val="24"/>
          <w:szCs w:val="24"/>
          <w:lang w:eastAsia="zh-CN" w:bidi="ar"/>
        </w:rPr>
      </w:pPr>
    </w:p>
    <w:p w14:paraId="7CC72246">
      <w:pPr>
        <w:spacing w:beforeLines="0" w:afterLines="0"/>
        <w:jc w:val="left"/>
        <w:rPr>
          <w:rFonts w:hint="default" w:ascii="Caladea" w:hAnsi="Caladea" w:eastAsia="Caladea"/>
          <w:color w:val="000000"/>
          <w:sz w:val="24"/>
          <w:szCs w:val="24"/>
        </w:rPr>
      </w:pPr>
    </w:p>
    <w:p w14:paraId="31AEBE21">
      <w:pPr>
        <w:keepNext w:val="0"/>
        <w:keepLines w:val="0"/>
        <w:widowControl/>
        <w:suppressLineNumbers w:val="0"/>
        <w:spacing w:before="0" w:beforeAutospacing="0" w:after="160" w:afterAutospacing="0" w:line="256" w:lineRule="auto"/>
        <w:ind w:left="0" w:right="0"/>
        <w:jc w:val="both"/>
        <w:rPr>
          <w:rFonts w:hint="default" w:ascii="Calibri" w:hAnsi="Calibri" w:eastAsia="Calibri" w:cs="Calibri"/>
          <w:b/>
          <w:bCs/>
          <w:kern w:val="2"/>
          <w:sz w:val="24"/>
          <w:szCs w:val="24"/>
          <w:lang w:eastAsia="zh-CN" w:bidi="ar"/>
        </w:rPr>
      </w:pPr>
      <w:r>
        <w:rPr>
          <w:rFonts w:hint="default" w:ascii="Calibri" w:hAnsi="Calibri" w:eastAsia="Caladea" w:cs="Calibri"/>
          <w:b/>
          <w:color w:val="000000"/>
          <w:sz w:val="24"/>
          <w:szCs w:val="24"/>
        </w:rPr>
        <w:t xml:space="preserve">Recurso de reposición contra la liquidación con n.º de referencia </w:t>
      </w:r>
      <w:r>
        <w:rPr>
          <w:rFonts w:hint="eastAsia" w:ascii="Calibri" w:hAnsi="Calibri" w:eastAsia="Calibri" w:cs="Times New Roman"/>
          <w:kern w:val="2"/>
          <w:sz w:val="24"/>
          <w:szCs w:val="24"/>
          <w:lang w:eastAsia="zh-CN" w:bidi="ar"/>
        </w:rPr>
        <w:t>[XXXXX]</w:t>
      </w:r>
      <w:r>
        <w:rPr>
          <w:rFonts w:hint="default" w:ascii="Calibri" w:hAnsi="Calibri" w:eastAsia="Calibri" w:cs="Times New Roman"/>
          <w:kern w:val="2"/>
          <w:sz w:val="24"/>
          <w:szCs w:val="24"/>
          <w:lang w:val="es-ES" w:eastAsia="zh-CN" w:bidi="ar"/>
        </w:rPr>
        <w:t xml:space="preserve"> </w:t>
      </w:r>
      <w:r>
        <w:rPr>
          <w:rFonts w:hint="default" w:ascii="Calibri" w:hAnsi="Calibri" w:eastAsia="Caladea" w:cs="Calibri"/>
          <w:b/>
          <w:color w:val="000000"/>
          <w:sz w:val="24"/>
          <w:szCs w:val="24"/>
        </w:rPr>
        <w:t xml:space="preserve">de la </w:t>
      </w:r>
      <w:r>
        <w:rPr>
          <w:rFonts w:hint="default" w:ascii="Calibri" w:hAnsi="Calibri" w:eastAsia="Caladea" w:cs="Calibri"/>
          <w:b/>
          <w:color w:val="000000"/>
          <w:sz w:val="24"/>
          <w:szCs w:val="24"/>
          <w:lang w:val="es-ES"/>
        </w:rPr>
        <w:t>T</w:t>
      </w:r>
      <w:r>
        <w:rPr>
          <w:rFonts w:hint="default" w:ascii="Calibri" w:hAnsi="Calibri" w:eastAsia="Caladea" w:cs="Calibri"/>
          <w:b/>
          <w:color w:val="000000"/>
          <w:sz w:val="24"/>
          <w:szCs w:val="24"/>
        </w:rPr>
        <w:t xml:space="preserve">asa por la </w:t>
      </w:r>
      <w:r>
        <w:rPr>
          <w:rFonts w:hint="default" w:ascii="Calibri" w:hAnsi="Calibri" w:eastAsia="Caladea" w:cs="Calibri"/>
          <w:b/>
          <w:color w:val="000000"/>
          <w:sz w:val="24"/>
          <w:szCs w:val="24"/>
          <w:lang w:val="es-ES"/>
        </w:rPr>
        <w:t>P</w:t>
      </w:r>
      <w:r>
        <w:rPr>
          <w:rFonts w:hint="default" w:ascii="Calibri" w:hAnsi="Calibri" w:eastAsia="Caladea" w:cs="Calibri"/>
          <w:b/>
          <w:color w:val="000000"/>
          <w:sz w:val="24"/>
          <w:szCs w:val="24"/>
        </w:rPr>
        <w:t xml:space="preserve">restación del </w:t>
      </w:r>
      <w:r>
        <w:rPr>
          <w:rFonts w:hint="default" w:ascii="Calibri" w:hAnsi="Calibri" w:eastAsia="Caladea" w:cs="Calibri"/>
          <w:b/>
          <w:color w:val="000000"/>
          <w:sz w:val="24"/>
          <w:szCs w:val="24"/>
          <w:lang w:val="es-ES"/>
        </w:rPr>
        <w:t>S</w:t>
      </w:r>
      <w:r>
        <w:rPr>
          <w:rFonts w:hint="default" w:ascii="Calibri" w:hAnsi="Calibri" w:eastAsia="Caladea" w:cs="Calibri"/>
          <w:b/>
          <w:color w:val="000000"/>
          <w:sz w:val="24"/>
          <w:szCs w:val="24"/>
        </w:rPr>
        <w:t xml:space="preserve">ervicio de </w:t>
      </w:r>
      <w:r>
        <w:rPr>
          <w:rFonts w:hint="default" w:ascii="Calibri" w:hAnsi="Calibri" w:eastAsia="Caladea" w:cs="Calibri"/>
          <w:b/>
          <w:color w:val="000000"/>
          <w:sz w:val="24"/>
          <w:szCs w:val="24"/>
          <w:lang w:val="es-ES"/>
        </w:rPr>
        <w:t>R</w:t>
      </w:r>
      <w:r>
        <w:rPr>
          <w:rFonts w:hint="default" w:ascii="Calibri" w:hAnsi="Calibri" w:eastAsia="Caladea" w:cs="Calibri"/>
          <w:b/>
          <w:color w:val="000000"/>
          <w:sz w:val="24"/>
          <w:szCs w:val="24"/>
        </w:rPr>
        <w:t xml:space="preserve">ecogida, </w:t>
      </w:r>
      <w:r>
        <w:rPr>
          <w:rFonts w:hint="default" w:ascii="Calibri" w:hAnsi="Calibri" w:eastAsia="Caladea" w:cs="Calibri"/>
          <w:b/>
          <w:color w:val="000000"/>
          <w:sz w:val="24"/>
          <w:szCs w:val="24"/>
          <w:lang w:val="es-ES"/>
        </w:rPr>
        <w:t>T</w:t>
      </w:r>
      <w:r>
        <w:rPr>
          <w:rFonts w:hint="default" w:ascii="Calibri" w:hAnsi="Calibri" w:eastAsia="Caladea" w:cs="Calibri"/>
          <w:b/>
          <w:color w:val="000000"/>
          <w:sz w:val="24"/>
          <w:szCs w:val="24"/>
        </w:rPr>
        <w:t xml:space="preserve">ransporte y </w:t>
      </w:r>
      <w:r>
        <w:rPr>
          <w:rFonts w:hint="default" w:ascii="Calibri" w:hAnsi="Calibri" w:eastAsia="Caladea" w:cs="Calibri"/>
          <w:b/>
          <w:color w:val="000000"/>
          <w:sz w:val="24"/>
          <w:szCs w:val="24"/>
          <w:lang w:val="es-ES"/>
        </w:rPr>
        <w:t>G</w:t>
      </w:r>
      <w:r>
        <w:rPr>
          <w:rFonts w:hint="default" w:ascii="Calibri" w:hAnsi="Calibri" w:eastAsia="Caladea" w:cs="Calibri"/>
          <w:b/>
          <w:color w:val="000000"/>
          <w:sz w:val="24"/>
          <w:szCs w:val="24"/>
        </w:rPr>
        <w:t xml:space="preserve">estión de </w:t>
      </w:r>
      <w:r>
        <w:rPr>
          <w:rFonts w:hint="default" w:ascii="Calibri" w:hAnsi="Calibri" w:eastAsia="Caladea" w:cs="Calibri"/>
          <w:b/>
          <w:color w:val="000000"/>
          <w:sz w:val="24"/>
          <w:szCs w:val="24"/>
          <w:lang w:val="es-ES"/>
        </w:rPr>
        <w:t>R</w:t>
      </w:r>
      <w:r>
        <w:rPr>
          <w:rFonts w:hint="default" w:ascii="Calibri" w:hAnsi="Calibri" w:eastAsia="Caladea" w:cs="Calibri"/>
          <w:b/>
          <w:color w:val="000000"/>
          <w:sz w:val="24"/>
          <w:szCs w:val="24"/>
        </w:rPr>
        <w:t xml:space="preserve">esiduos </w:t>
      </w:r>
      <w:r>
        <w:rPr>
          <w:rFonts w:hint="default" w:ascii="Calibri" w:hAnsi="Calibri" w:eastAsia="Caladea" w:cs="Calibri"/>
          <w:b/>
          <w:color w:val="000000"/>
          <w:sz w:val="24"/>
          <w:szCs w:val="24"/>
          <w:lang w:val="es-ES"/>
        </w:rPr>
        <w:t>U</w:t>
      </w:r>
      <w:bookmarkStart w:id="0" w:name="_GoBack"/>
      <w:bookmarkEnd w:id="0"/>
      <w:r>
        <w:rPr>
          <w:rFonts w:hint="default" w:ascii="Calibri" w:hAnsi="Calibri" w:eastAsia="Caladea" w:cs="Calibri"/>
          <w:b/>
          <w:color w:val="000000"/>
          <w:sz w:val="24"/>
          <w:szCs w:val="24"/>
        </w:rPr>
        <w:t>rbanos</w:t>
      </w:r>
    </w:p>
    <w:p w14:paraId="0F2EFD43">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kern w:val="2"/>
          <w:sz w:val="24"/>
          <w:szCs w:val="24"/>
          <w:lang w:eastAsia="zh-CN" w:bidi="ar"/>
        </w:rPr>
        <w:t>D./Dña. [Nombre y apellidos], con DNI [número], y domicilio a efectos de notificaciones en [dirección completa], ante est</w:t>
      </w:r>
      <w:r>
        <w:rPr>
          <w:rFonts w:hint="default" w:ascii="Calibri" w:hAnsi="Calibri" w:eastAsia="Calibri" w:cs="Times New Roman"/>
          <w:kern w:val="2"/>
          <w:sz w:val="24"/>
          <w:szCs w:val="24"/>
          <w:lang w:val="es-ES" w:eastAsia="zh-CN" w:bidi="ar"/>
        </w:rPr>
        <w:t xml:space="preserve">a Administración </w:t>
      </w:r>
      <w:r>
        <w:rPr>
          <w:rFonts w:hint="eastAsia" w:ascii="Calibri" w:hAnsi="Calibri" w:eastAsia="Calibri" w:cs="Times New Roman"/>
          <w:kern w:val="2"/>
          <w:sz w:val="24"/>
          <w:szCs w:val="24"/>
          <w:lang w:eastAsia="zh-CN" w:bidi="ar"/>
        </w:rPr>
        <w:t>comparece y, como mejor proceda en Derecho,</w:t>
      </w:r>
    </w:p>
    <w:p w14:paraId="1AD0D0D1">
      <w:pPr>
        <w:keepNext w:val="0"/>
        <w:keepLines w:val="0"/>
        <w:widowControl/>
        <w:suppressLineNumbers w:val="0"/>
        <w:spacing w:before="0" w:beforeAutospacing="0" w:after="160" w:afterAutospacing="0" w:line="256" w:lineRule="auto"/>
        <w:ind w:left="0" w:right="0"/>
        <w:jc w:val="both"/>
        <w:rPr>
          <w:rFonts w:hint="default" w:ascii="Calibri" w:hAnsi="Calibri" w:eastAsia="Calibri" w:cs="Times New Roman"/>
          <w:b/>
          <w:bCs/>
          <w:kern w:val="2"/>
          <w:sz w:val="24"/>
          <w:szCs w:val="24"/>
          <w:lang w:val="es-ES" w:eastAsia="zh-CN" w:bidi="ar"/>
        </w:rPr>
      </w:pPr>
      <w:r>
        <w:rPr>
          <w:rFonts w:hint="eastAsia" w:ascii="Calibri" w:hAnsi="Calibri" w:eastAsia="Calibri" w:cs="Times New Roman"/>
          <w:b/>
          <w:bCs/>
          <w:kern w:val="2"/>
          <w:sz w:val="24"/>
          <w:szCs w:val="24"/>
          <w:lang w:eastAsia="zh-CN" w:bidi="ar"/>
        </w:rPr>
        <w:t>EXPONE</w:t>
      </w:r>
      <w:r>
        <w:rPr>
          <w:rFonts w:hint="default" w:ascii="Calibri" w:hAnsi="Calibri" w:eastAsia="Calibri" w:cs="Times New Roman"/>
          <w:b/>
          <w:bCs/>
          <w:kern w:val="2"/>
          <w:sz w:val="24"/>
          <w:szCs w:val="24"/>
          <w:lang w:val="es-ES" w:eastAsia="zh-CN" w:bidi="ar"/>
        </w:rPr>
        <w:t xml:space="preserve"> que:</w:t>
      </w:r>
    </w:p>
    <w:p w14:paraId="53846080">
      <w:pPr>
        <w:keepNext w:val="0"/>
        <w:keepLines w:val="0"/>
        <w:widowControl/>
        <w:suppressLineNumbers w:val="0"/>
        <w:spacing w:before="0" w:beforeAutospacing="0" w:after="160" w:afterAutospacing="0" w:line="256" w:lineRule="auto"/>
        <w:ind w:left="0" w:right="0"/>
        <w:jc w:val="both"/>
        <w:rPr>
          <w:rFonts w:hint="default" w:ascii="Calibri" w:hAnsi="Calibri" w:eastAsia="Calibri" w:cs="Times New Roman"/>
          <w:b/>
          <w:bCs/>
          <w:kern w:val="2"/>
          <w:sz w:val="24"/>
          <w:szCs w:val="24"/>
          <w:lang w:val="es-ES" w:eastAsia="zh-CN" w:bidi="ar"/>
        </w:rPr>
      </w:pPr>
      <w:r>
        <w:rPr>
          <w:rFonts w:hint="eastAsia" w:ascii="Calibri" w:hAnsi="Calibri" w:eastAsia="Calibri" w:cs="Times New Roman"/>
          <w:kern w:val="2"/>
          <w:sz w:val="24"/>
          <w:szCs w:val="24"/>
          <w:lang w:eastAsia="zh-CN" w:bidi="ar"/>
        </w:rPr>
        <w:t xml:space="preserve">No estando conforme con </w:t>
      </w:r>
      <w:r>
        <w:rPr>
          <w:rFonts w:hint="default" w:ascii="Calibri" w:hAnsi="Calibri" w:eastAsia="Calibri" w:cs="Times New Roman"/>
          <w:kern w:val="2"/>
          <w:sz w:val="24"/>
          <w:szCs w:val="24"/>
          <w:lang w:val="es-ES" w:eastAsia="zh-CN" w:bidi="ar"/>
        </w:rPr>
        <w:t>la liquidación de la Tasa por Prestación del Servicio de Recogida, Transporte y Gestión de Residuos Urbanos</w:t>
      </w:r>
      <w:r>
        <w:rPr>
          <w:rFonts w:hint="eastAsia" w:ascii="Calibri" w:hAnsi="Calibri" w:eastAsia="Calibri" w:cs="Times New Roman"/>
          <w:kern w:val="2"/>
          <w:sz w:val="24"/>
          <w:szCs w:val="24"/>
          <w:lang w:eastAsia="zh-CN" w:bidi="ar"/>
        </w:rPr>
        <w:t xml:space="preserve"> el compareciente formula, dentro del plazo legal, rec</w:t>
      </w:r>
      <w:r>
        <w:rPr>
          <w:rFonts w:hint="default" w:ascii="Calibri" w:hAnsi="Calibri" w:eastAsia="Calibri" w:cs="Times New Roman"/>
          <w:kern w:val="2"/>
          <w:sz w:val="24"/>
          <w:szCs w:val="24"/>
          <w:lang w:val="es-ES" w:eastAsia="zh-CN" w:bidi="ar"/>
        </w:rPr>
        <w:t>urso de reposición</w:t>
      </w:r>
      <w:r>
        <w:rPr>
          <w:rFonts w:hint="eastAsia" w:ascii="Calibri" w:hAnsi="Calibri" w:eastAsia="Calibri" w:cs="Times New Roman"/>
          <w:kern w:val="2"/>
          <w:sz w:val="24"/>
          <w:szCs w:val="24"/>
          <w:lang w:eastAsia="zh-CN" w:bidi="ar"/>
        </w:rPr>
        <w:t xml:space="preserve"> conforme </w:t>
      </w:r>
      <w:r>
        <w:rPr>
          <w:rFonts w:hint="default" w:ascii="Calibri" w:hAnsi="Calibri" w:eastAsia="Calibri" w:cs="Times New Roman"/>
          <w:kern w:val="2"/>
          <w:sz w:val="24"/>
          <w:szCs w:val="24"/>
          <w:lang w:val="es-ES" w:eastAsia="zh-CN" w:bidi="ar"/>
        </w:rPr>
        <w:t xml:space="preserve">al artículo 14 del Real Decreto Legislativo 2/2004, de la Ley de Haciendas Locales, contra la liquidación de la tasa con nº de referencia </w:t>
      </w:r>
      <w:r>
        <w:rPr>
          <w:rFonts w:hint="eastAsia" w:ascii="Calibri" w:hAnsi="Calibri" w:eastAsia="Calibri" w:cs="Times New Roman"/>
          <w:kern w:val="2"/>
          <w:sz w:val="24"/>
          <w:szCs w:val="24"/>
          <w:lang w:eastAsia="zh-CN" w:bidi="ar"/>
        </w:rPr>
        <w:t>[XXXXX]</w:t>
      </w:r>
      <w:r>
        <w:rPr>
          <w:rFonts w:hint="default" w:ascii="Calibri" w:hAnsi="Calibri" w:eastAsia="Calibri" w:cs="Times New Roman"/>
          <w:kern w:val="2"/>
          <w:sz w:val="24"/>
          <w:szCs w:val="24"/>
          <w:lang w:val="es-ES" w:eastAsia="zh-CN" w:bidi="ar"/>
        </w:rPr>
        <w:t xml:space="preserve"> en base a los siguientes:</w:t>
      </w:r>
    </w:p>
    <w:p w14:paraId="48D2759F">
      <w:pPr>
        <w:keepNext w:val="0"/>
        <w:keepLines w:val="0"/>
        <w:widowControl/>
        <w:suppressLineNumbers w:val="0"/>
        <w:spacing w:before="0" w:beforeAutospacing="0" w:after="160" w:afterAutospacing="0" w:line="256" w:lineRule="auto"/>
        <w:ind w:left="0" w:right="0"/>
        <w:jc w:val="both"/>
        <w:rPr>
          <w:b/>
          <w:bCs/>
          <w:sz w:val="24"/>
          <w:szCs w:val="24"/>
        </w:rPr>
      </w:pPr>
      <w:r>
        <w:rPr>
          <w:rFonts w:hint="eastAsia" w:ascii="Calibri" w:hAnsi="Calibri" w:eastAsia="Calibri" w:cs="Times New Roman"/>
          <w:b/>
          <w:bCs/>
          <w:kern w:val="2"/>
          <w:sz w:val="24"/>
          <w:szCs w:val="24"/>
          <w:lang w:eastAsia="zh-CN" w:bidi="ar"/>
        </w:rPr>
        <w:t>FUNDAMENTOS DE HECHO</w:t>
      </w:r>
    </w:p>
    <w:p w14:paraId="1AEDCAA0">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b/>
          <w:bCs/>
          <w:kern w:val="2"/>
          <w:sz w:val="24"/>
          <w:szCs w:val="24"/>
          <w:lang w:eastAsia="zh-CN" w:bidi="ar"/>
        </w:rPr>
        <w:t>Primero.</w:t>
      </w:r>
      <w:r>
        <w:rPr>
          <w:rFonts w:hint="eastAsia" w:ascii="Calibri" w:hAnsi="Calibri" w:eastAsia="Calibri" w:cs="Times New Roman"/>
          <w:kern w:val="2"/>
          <w:sz w:val="24"/>
          <w:szCs w:val="24"/>
          <w:lang w:eastAsia="zh-CN" w:bidi="ar"/>
        </w:rPr>
        <w:t xml:space="preserve"> Con fecha [indicar fecha de notificación], se notificó la liquidación de la Tasa por Prestación del Servicio de Gestión de Residuos Urbanos con número de referencia [XXXXX], correspondiente al ejercicio 2025, emitida por el Ayuntamiento de [localidad], por importe de [importe] euros, relativa al inmueble sito en [dirección completa], de uso catastral residencial.</w:t>
      </w:r>
    </w:p>
    <w:p w14:paraId="6BC10266">
      <w:pPr>
        <w:keepNext w:val="0"/>
        <w:keepLines w:val="0"/>
        <w:widowControl/>
        <w:suppressLineNumbers w:val="0"/>
        <w:spacing w:before="0" w:beforeAutospacing="0" w:after="160" w:afterAutospacing="0" w:line="256" w:lineRule="auto"/>
        <w:ind w:left="0" w:right="0"/>
        <w:jc w:val="both"/>
        <w:rPr>
          <w:sz w:val="24"/>
          <w:szCs w:val="24"/>
        </w:rPr>
      </w:pPr>
      <w:r>
        <w:rPr>
          <w:rFonts w:hint="default" w:ascii="Calibri" w:hAnsi="Calibri" w:eastAsia="Calibri" w:cs="Times New Roman"/>
          <w:b/>
          <w:bCs/>
          <w:kern w:val="2"/>
          <w:sz w:val="24"/>
          <w:szCs w:val="24"/>
          <w:lang w:val="es-ES" w:eastAsia="zh-CN" w:bidi="ar"/>
        </w:rPr>
        <w:t>Segundo</w:t>
      </w:r>
      <w:r>
        <w:rPr>
          <w:rFonts w:hint="eastAsia" w:ascii="Calibri" w:hAnsi="Calibri" w:eastAsia="Calibri" w:cs="Times New Roman"/>
          <w:b/>
          <w:bCs/>
          <w:kern w:val="2"/>
          <w:sz w:val="24"/>
          <w:szCs w:val="24"/>
          <w:lang w:eastAsia="zh-CN" w:bidi="ar"/>
        </w:rPr>
        <w:t>.</w:t>
      </w:r>
      <w:r>
        <w:rPr>
          <w:rFonts w:hint="eastAsia" w:ascii="Calibri" w:hAnsi="Calibri" w:eastAsia="Calibri" w:cs="Times New Roman"/>
          <w:kern w:val="2"/>
          <w:sz w:val="24"/>
          <w:szCs w:val="24"/>
          <w:lang w:eastAsia="zh-CN" w:bidi="ar"/>
        </w:rPr>
        <w:t xml:space="preserve"> El importe de la tasa se ha determinado principalmente en función del valor catastral del inmueble, sin relación directa con la generación efectiva de residuos, el uso real del servicio ni las características objetivas del mismo</w:t>
      </w:r>
      <w:r>
        <w:rPr>
          <w:rFonts w:hint="default" w:ascii="Calibri" w:hAnsi="Calibri" w:eastAsia="Calibri" w:cs="Times New Roman"/>
          <w:kern w:val="2"/>
          <w:sz w:val="24"/>
          <w:szCs w:val="24"/>
          <w:lang w:val="es-ES" w:eastAsia="zh-CN" w:bidi="ar"/>
        </w:rPr>
        <w:t>.</w:t>
      </w:r>
      <w:r>
        <w:rPr>
          <w:rFonts w:hint="eastAsia" w:ascii="Calibri" w:hAnsi="Calibri" w:eastAsia="Calibri" w:cs="Times New Roman"/>
          <w:kern w:val="2"/>
          <w:sz w:val="24"/>
          <w:szCs w:val="24"/>
          <w:lang w:eastAsia="zh-CN" w:bidi="ar"/>
        </w:rPr>
        <w:t xml:space="preserve"> Este criterio no guarda correlación con el principio de equivalencia exigido para las tasas.</w:t>
      </w:r>
    </w:p>
    <w:p w14:paraId="4D96C378">
      <w:pPr>
        <w:keepNext w:val="0"/>
        <w:keepLines w:val="0"/>
        <w:widowControl/>
        <w:suppressLineNumbers w:val="0"/>
        <w:spacing w:before="0" w:beforeAutospacing="0" w:after="160" w:afterAutospacing="0" w:line="256" w:lineRule="auto"/>
        <w:ind w:left="0" w:right="0"/>
        <w:jc w:val="both"/>
        <w:rPr>
          <w:sz w:val="24"/>
          <w:szCs w:val="24"/>
        </w:rPr>
      </w:pPr>
      <w:r>
        <w:rPr>
          <w:rFonts w:hint="default" w:ascii="Calibri" w:hAnsi="Calibri" w:eastAsia="Calibri" w:cs="Times New Roman"/>
          <w:b/>
          <w:bCs/>
          <w:kern w:val="2"/>
          <w:sz w:val="24"/>
          <w:szCs w:val="24"/>
          <w:lang w:val="es-ES" w:eastAsia="zh-CN" w:bidi="ar"/>
        </w:rPr>
        <w:t>Tercero</w:t>
      </w:r>
      <w:r>
        <w:rPr>
          <w:rFonts w:hint="eastAsia" w:ascii="Calibri" w:hAnsi="Calibri" w:eastAsia="Calibri" w:cs="Times New Roman"/>
          <w:b/>
          <w:bCs/>
          <w:kern w:val="2"/>
          <w:sz w:val="24"/>
          <w:szCs w:val="24"/>
          <w:lang w:eastAsia="zh-CN" w:bidi="ar"/>
        </w:rPr>
        <w:t>.</w:t>
      </w:r>
      <w:r>
        <w:rPr>
          <w:rFonts w:hint="eastAsia" w:ascii="Calibri" w:hAnsi="Calibri" w:eastAsia="Calibri" w:cs="Times New Roman"/>
          <w:kern w:val="2"/>
          <w:sz w:val="24"/>
          <w:szCs w:val="24"/>
          <w:lang w:eastAsia="zh-CN" w:bidi="ar"/>
        </w:rPr>
        <w:t xml:space="preserve"> La liquidación impugnada no considera las aportaciones económicas ya financiadas por los consumidores a través del Impuesto estatal sobre los envases de plástico no reutilizables y del sistema de Responsabilidad Ampliada del Productor (RAP), establecidos en la Ley 7/2022, de 8 de abril, de residuos y suelos contaminados para una economía circular. Esta omisión implica una doble tributación material contraria a los principios constitucionales.</w:t>
      </w:r>
    </w:p>
    <w:p w14:paraId="4A0B0874">
      <w:pPr>
        <w:keepNext w:val="0"/>
        <w:keepLines w:val="0"/>
        <w:widowControl/>
        <w:suppressLineNumbers w:val="0"/>
        <w:spacing w:before="0" w:beforeAutospacing="0" w:after="160" w:afterAutospacing="0" w:line="256" w:lineRule="auto"/>
        <w:ind w:left="0" w:right="0"/>
        <w:jc w:val="both"/>
        <w:rPr>
          <w:rFonts w:hint="default"/>
          <w:sz w:val="24"/>
          <w:szCs w:val="24"/>
          <w:lang w:val="es-ES"/>
        </w:rPr>
      </w:pPr>
      <w:r>
        <w:rPr>
          <w:rFonts w:hint="default" w:ascii="Calibri" w:hAnsi="Calibri" w:eastAsia="Calibri" w:cs="Times New Roman"/>
          <w:b/>
          <w:bCs/>
          <w:kern w:val="2"/>
          <w:sz w:val="24"/>
          <w:szCs w:val="24"/>
          <w:lang w:val="es-ES" w:eastAsia="zh-CN" w:bidi="ar"/>
        </w:rPr>
        <w:t>Cuarto</w:t>
      </w:r>
      <w:r>
        <w:rPr>
          <w:rFonts w:hint="eastAsia" w:ascii="Calibri" w:hAnsi="Calibri" w:eastAsia="Calibri" w:cs="Times New Roman"/>
          <w:b/>
          <w:bCs/>
          <w:kern w:val="2"/>
          <w:sz w:val="24"/>
          <w:szCs w:val="24"/>
          <w:lang w:eastAsia="zh-CN" w:bidi="ar"/>
        </w:rPr>
        <w:t>.</w:t>
      </w:r>
      <w:r>
        <w:rPr>
          <w:rFonts w:hint="eastAsia" w:ascii="Calibri" w:hAnsi="Calibri" w:eastAsia="Calibri" w:cs="Times New Roman"/>
          <w:kern w:val="2"/>
          <w:sz w:val="24"/>
          <w:szCs w:val="24"/>
          <w:lang w:eastAsia="zh-CN" w:bidi="ar"/>
        </w:rPr>
        <w:t xml:space="preserve"> Los kilogramos teóricos asignados al inmueble por la Ordenanza Fiscal no reflejan la realidad del consumo y generación de residuos. Tampoco se han previsto mecanismos de revisión o prueba en contrario que permitan acreditar una menor utilización del servicio</w:t>
      </w:r>
      <w:r>
        <w:rPr>
          <w:rFonts w:hint="default" w:ascii="Calibri" w:hAnsi="Calibri" w:eastAsia="Calibri" w:cs="Times New Roman"/>
          <w:kern w:val="2"/>
          <w:sz w:val="24"/>
          <w:szCs w:val="24"/>
          <w:lang w:val="es-ES" w:eastAsia="zh-CN" w:bidi="ar"/>
        </w:rPr>
        <w:t xml:space="preserve"> o la capacidad de reciclaje del contribuyente.</w:t>
      </w:r>
    </w:p>
    <w:p w14:paraId="51FD2990">
      <w:pPr>
        <w:keepNext w:val="0"/>
        <w:keepLines w:val="0"/>
        <w:widowControl/>
        <w:suppressLineNumbers w:val="0"/>
        <w:spacing w:before="0" w:beforeAutospacing="0" w:after="160" w:afterAutospacing="0" w:line="256" w:lineRule="auto"/>
        <w:ind w:left="0" w:right="0"/>
        <w:jc w:val="both"/>
        <w:rPr>
          <w:sz w:val="24"/>
          <w:szCs w:val="24"/>
        </w:rPr>
      </w:pPr>
      <w:r>
        <w:rPr>
          <w:rFonts w:hint="default" w:ascii="Calibri" w:hAnsi="Calibri" w:eastAsia="Calibri" w:cs="Times New Roman"/>
          <w:b/>
          <w:bCs/>
          <w:kern w:val="2"/>
          <w:sz w:val="24"/>
          <w:szCs w:val="24"/>
          <w:lang w:val="es-ES" w:eastAsia="zh-CN" w:bidi="ar"/>
        </w:rPr>
        <w:t>Quinto</w:t>
      </w:r>
      <w:r>
        <w:rPr>
          <w:rFonts w:hint="eastAsia" w:ascii="Calibri" w:hAnsi="Calibri" w:eastAsia="Calibri" w:cs="Times New Roman"/>
          <w:b/>
          <w:bCs/>
          <w:kern w:val="2"/>
          <w:sz w:val="24"/>
          <w:szCs w:val="24"/>
          <w:lang w:eastAsia="zh-CN" w:bidi="ar"/>
        </w:rPr>
        <w:t>.</w:t>
      </w:r>
      <w:r>
        <w:rPr>
          <w:rFonts w:hint="eastAsia" w:ascii="Calibri" w:hAnsi="Calibri" w:eastAsia="Calibri" w:cs="Times New Roman"/>
          <w:kern w:val="2"/>
          <w:sz w:val="24"/>
          <w:szCs w:val="24"/>
          <w:lang w:eastAsia="zh-CN" w:bidi="ar"/>
        </w:rPr>
        <w:t xml:space="preserve"> La Ordenanza carece de incentivos económicos o tarifas moduladas que promuevan la reducción de residuos y el reciclaje, incumpliendo las obligaciones del artículo 11 de la Ley 7/2022 y los objetivos de economía circular de la Unión Europea.</w:t>
      </w:r>
    </w:p>
    <w:p w14:paraId="62EB3F78">
      <w:pPr>
        <w:keepNext w:val="0"/>
        <w:keepLines w:val="0"/>
        <w:widowControl/>
        <w:suppressLineNumbers w:val="0"/>
        <w:spacing w:before="0" w:beforeAutospacing="0" w:after="160" w:afterAutospacing="0" w:line="256" w:lineRule="auto"/>
        <w:ind w:left="0" w:right="0"/>
        <w:jc w:val="both"/>
        <w:rPr>
          <w:sz w:val="24"/>
          <w:szCs w:val="24"/>
        </w:rPr>
      </w:pPr>
      <w:r>
        <w:rPr>
          <w:sz w:val="24"/>
          <w:szCs w:val="24"/>
        </w:rPr>
        <w:pict>
          <v:rect id="_x0000_i1025" o:spt="1" style="height:1.5pt;width:441.8pt;" fillcolor="#A0A0A0" filled="t" stroked="f" coordsize="21600,21600" o:hr="t" o:hrstd="t" o:hralign="center">
            <v:path/>
            <v:fill on="t" focussize="0,0"/>
            <v:stroke on="f"/>
            <v:imagedata o:title=""/>
            <o:lock v:ext="edit"/>
            <w10:wrap type="none"/>
            <w10:anchorlock/>
          </v:rect>
        </w:pict>
      </w:r>
    </w:p>
    <w:p w14:paraId="47F4F9AC">
      <w:pPr>
        <w:keepNext w:val="0"/>
        <w:keepLines w:val="0"/>
        <w:widowControl/>
        <w:suppressLineNumbers w:val="0"/>
        <w:spacing w:before="0" w:beforeAutospacing="0" w:after="160" w:afterAutospacing="0" w:line="256" w:lineRule="auto"/>
        <w:ind w:left="0" w:right="0"/>
        <w:jc w:val="both"/>
        <w:rPr>
          <w:b/>
          <w:bCs/>
          <w:sz w:val="24"/>
          <w:szCs w:val="24"/>
        </w:rPr>
      </w:pPr>
      <w:r>
        <w:rPr>
          <w:rFonts w:hint="eastAsia" w:ascii="Calibri" w:hAnsi="Calibri" w:eastAsia="Calibri" w:cs="Times New Roman"/>
          <w:b/>
          <w:bCs/>
          <w:kern w:val="2"/>
          <w:sz w:val="24"/>
          <w:szCs w:val="24"/>
          <w:lang w:eastAsia="zh-CN" w:bidi="ar"/>
        </w:rPr>
        <w:t>FUNDAMENTOS DE DERECHO</w:t>
      </w:r>
    </w:p>
    <w:p w14:paraId="2681446F">
      <w:pPr>
        <w:keepNext w:val="0"/>
        <w:keepLines w:val="0"/>
        <w:widowControl/>
        <w:suppressLineNumbers w:val="0"/>
        <w:spacing w:before="0" w:beforeAutospacing="0" w:after="160" w:afterAutospacing="0" w:line="256" w:lineRule="auto"/>
        <w:ind w:left="0" w:right="0"/>
        <w:jc w:val="both"/>
        <w:rPr>
          <w:rFonts w:hint="eastAsia" w:ascii="Calibri" w:hAnsi="Calibri" w:eastAsia="Calibri" w:cs="Times New Roman"/>
          <w:kern w:val="2"/>
          <w:sz w:val="24"/>
          <w:szCs w:val="24"/>
          <w:lang w:eastAsia="zh-CN" w:bidi="ar"/>
        </w:rPr>
      </w:pPr>
      <w:r>
        <w:rPr>
          <w:rFonts w:hint="eastAsia" w:ascii="Calibri" w:hAnsi="Calibri" w:eastAsia="Calibri" w:cs="Times New Roman"/>
          <w:b/>
          <w:bCs/>
          <w:kern w:val="2"/>
          <w:sz w:val="24"/>
          <w:szCs w:val="24"/>
          <w:lang w:eastAsia="zh-CN" w:bidi="ar"/>
        </w:rPr>
        <w:t>Primero. Principio de equivalencia y límite del coste del servicio.</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artículo 24.2 del Real Decreto Legislativo 2/2004 (Texto Refundido de la Ley Reguladora de las Haciendas Locales) dispone que el importe de las tasas no podrá exceder del coste real o previsible del servicio.</w:t>
      </w:r>
    </w:p>
    <w:p w14:paraId="66EF3339">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kern w:val="2"/>
          <w:sz w:val="24"/>
          <w:szCs w:val="24"/>
          <w:lang w:eastAsia="zh-CN" w:bidi="ar"/>
        </w:rPr>
        <w:t>La tasa impugnada no deduce las aportaciones ya efectuadas a través del impuesto estatal y la RAP, lo que excede del coste real del servicio y convierte la tasa en un instrumento de recaudación general, vulnerando la naturaleza jurídica de las tasas.</w:t>
      </w:r>
    </w:p>
    <w:p w14:paraId="68FED3EC">
      <w:pPr>
        <w:keepNext w:val="0"/>
        <w:keepLines w:val="0"/>
        <w:widowControl/>
        <w:suppressLineNumbers w:val="0"/>
        <w:spacing w:before="0" w:beforeAutospacing="0" w:after="160" w:afterAutospacing="0" w:line="256" w:lineRule="auto"/>
        <w:ind w:left="0" w:right="0"/>
        <w:jc w:val="both"/>
        <w:rPr>
          <w:rFonts w:hint="eastAsia" w:ascii="Calibri" w:hAnsi="Calibri" w:eastAsia="Calibri" w:cs="Times New Roman"/>
          <w:kern w:val="2"/>
          <w:sz w:val="24"/>
          <w:szCs w:val="24"/>
          <w:lang w:eastAsia="zh-CN" w:bidi="ar"/>
        </w:rPr>
      </w:pPr>
      <w:r>
        <w:rPr>
          <w:rFonts w:hint="eastAsia" w:ascii="Calibri" w:hAnsi="Calibri" w:eastAsia="Calibri" w:cs="Times New Roman"/>
          <w:b/>
          <w:bCs/>
          <w:kern w:val="2"/>
          <w:sz w:val="24"/>
          <w:szCs w:val="24"/>
          <w:lang w:eastAsia="zh-CN" w:bidi="ar"/>
        </w:rPr>
        <w:t>Segundo. Principios de proporcionalidad e igualdad tributaria.</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artículo 31.1 de la Constitución Española establece que todos contribuirán al sostenimiento de los gastos públicos de acuerdo con su capacidad económica mediante un sistema tributario justo inspirado en los principios de igualdad que, en ningún caso, tenga alcance confiscatorio.</w:t>
      </w:r>
    </w:p>
    <w:p w14:paraId="11EE5918">
      <w:pPr>
        <w:keepNext w:val="0"/>
        <w:keepLines w:val="0"/>
        <w:widowControl/>
        <w:suppressLineNumbers w:val="0"/>
        <w:spacing w:before="0" w:beforeAutospacing="0" w:after="160" w:afterAutospacing="0" w:line="256" w:lineRule="auto"/>
        <w:ind w:left="0" w:right="0"/>
        <w:jc w:val="both"/>
        <w:rPr>
          <w:rFonts w:hint="eastAsia" w:ascii="Calibri" w:hAnsi="Calibri" w:eastAsia="Calibri" w:cs="Times New Roman"/>
          <w:kern w:val="2"/>
          <w:sz w:val="24"/>
          <w:szCs w:val="24"/>
          <w:lang w:eastAsia="zh-CN" w:bidi="ar"/>
        </w:rPr>
      </w:pPr>
      <w:r>
        <w:rPr>
          <w:rFonts w:hint="eastAsia" w:ascii="Calibri" w:hAnsi="Calibri" w:eastAsia="Calibri" w:cs="Times New Roman"/>
          <w:kern w:val="2"/>
          <w:sz w:val="24"/>
          <w:szCs w:val="24"/>
          <w:lang w:eastAsia="zh-CN" w:bidi="ar"/>
        </w:rPr>
        <w:t>El empleo del valor catastral como variable principal no guarda relación con el uso del servicio y genera desigualdad entre contribuyentes. Tampoco tiene en cuenta la capacidad económica real del contribuyente</w:t>
      </w:r>
      <w:r>
        <w:rPr>
          <w:rFonts w:hint="default" w:ascii="Calibri" w:hAnsi="Calibri" w:eastAsia="Calibri" w:cs="Times New Roman"/>
          <w:kern w:val="2"/>
          <w:sz w:val="24"/>
          <w:szCs w:val="24"/>
          <w:lang w:val="es-ES" w:eastAsia="zh-CN" w:bidi="ar"/>
        </w:rPr>
        <w:t>.</w:t>
      </w:r>
    </w:p>
    <w:p w14:paraId="657D968E">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kern w:val="2"/>
          <w:sz w:val="24"/>
          <w:szCs w:val="24"/>
          <w:lang w:eastAsia="zh-CN" w:bidi="ar"/>
        </w:rPr>
        <w:t>Así lo reconoce la Sentencia del Tribunal Supremo 818/2024, de 13 de mayo de 2024, que declara que el criterio catastral no puede sustituir a un parámetro objetivo de prestación del servicio.</w:t>
      </w:r>
    </w:p>
    <w:p w14:paraId="7F95469B">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b/>
          <w:bCs/>
          <w:kern w:val="2"/>
          <w:sz w:val="24"/>
          <w:szCs w:val="24"/>
          <w:lang w:eastAsia="zh-CN" w:bidi="ar"/>
        </w:rPr>
        <w:t>Tercero. Doble tributación material.</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Conforme a la Ley 7/2022, los costes de recogida y tratamiento de residuos de envases deben ser asumidos en parte por los productores mediante los sistemas de RAP. La falta de coordinación entre esta normativa estatal y la tasa municipal genera duplicidad tributaria, vulnerando el principio de justicia tributaria y el artículo 31 de la Constitución.</w:t>
      </w:r>
    </w:p>
    <w:p w14:paraId="7A22C2B1">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b/>
          <w:bCs/>
          <w:kern w:val="2"/>
          <w:sz w:val="24"/>
          <w:szCs w:val="24"/>
          <w:lang w:eastAsia="zh-CN" w:bidi="ar"/>
        </w:rPr>
        <w:t>Cuarto. Inobservancia de la normativa de economía circular.</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El artículo 11 de la Ley 7/2022 impone a los entes locales el deber de establecer sistemas de pago por generación y mecanismos de incentivo para la prevención de residuos.</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La Ordenanza Fiscal municipal no incorpora tales instrumentos, incumpliendo la normativa superior y los compromisos asumidos por España en materia de sostenibilidad.</w:t>
      </w:r>
    </w:p>
    <w:p w14:paraId="715E6992">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b/>
          <w:bCs/>
          <w:kern w:val="2"/>
          <w:sz w:val="24"/>
          <w:szCs w:val="24"/>
          <w:lang w:eastAsia="zh-CN" w:bidi="ar"/>
        </w:rPr>
        <w:t>Quinto. Jurisprudencia aplicable.</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La sentencia del Tribunal Supremo 818/2024 exige la existencia de una relación directa y proporcionada entre la prestación del servicio y la cuantía de la tasa.</w:t>
      </w:r>
    </w:p>
    <w:p w14:paraId="39A445DF">
      <w:pPr>
        <w:keepNext w:val="0"/>
        <w:keepLines w:val="0"/>
        <w:widowControl/>
        <w:suppressLineNumbers w:val="0"/>
        <w:spacing w:before="0" w:beforeAutospacing="0" w:after="160" w:afterAutospacing="0" w:line="256" w:lineRule="auto"/>
        <w:ind w:left="0" w:right="0"/>
        <w:jc w:val="both"/>
        <w:rPr>
          <w:sz w:val="24"/>
          <w:szCs w:val="24"/>
        </w:rPr>
      </w:pPr>
      <w:r>
        <w:rPr>
          <w:sz w:val="24"/>
          <w:szCs w:val="24"/>
        </w:rPr>
        <w:pict>
          <v:rect id="_x0000_i1026" o:spt="1" style="height:1.5pt;width:441.8pt;" fillcolor="#A0A0A0" filled="t" stroked="f" coordsize="21600,21600" o:hr="t" o:hrstd="t" o:hralign="center">
            <v:path/>
            <v:fill on="t" focussize="0,0"/>
            <v:stroke on="f"/>
            <v:imagedata o:title=""/>
            <o:lock v:ext="edit"/>
            <w10:wrap type="none"/>
            <w10:anchorlock/>
          </v:rect>
        </w:pict>
      </w:r>
    </w:p>
    <w:p w14:paraId="4DEAC9AF">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kern w:val="2"/>
          <w:sz w:val="24"/>
          <w:szCs w:val="24"/>
          <w:lang w:eastAsia="zh-CN" w:bidi="ar"/>
        </w:rPr>
        <w:t>Por todo lo expuesto,</w:t>
      </w:r>
    </w:p>
    <w:p w14:paraId="196D04AB">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b/>
          <w:bCs/>
          <w:kern w:val="2"/>
          <w:sz w:val="24"/>
          <w:szCs w:val="24"/>
          <w:lang w:eastAsia="zh-CN" w:bidi="ar"/>
        </w:rPr>
        <w:t>SOLICITO</w:t>
      </w:r>
      <w:r>
        <w:rPr>
          <w:rFonts w:hint="eastAsia" w:ascii="Calibri" w:hAnsi="Calibri" w:eastAsia="Calibri" w:cs="Times New Roman"/>
          <w:kern w:val="2"/>
          <w:sz w:val="24"/>
          <w:szCs w:val="24"/>
          <w:lang w:eastAsia="zh-CN" w:bidi="ar"/>
        </w:rPr>
        <w:t xml:space="preserve"> que, teniendo por presentado este escrito</w:t>
      </w:r>
      <w:r>
        <w:rPr>
          <w:rFonts w:hint="default" w:ascii="Calibri" w:hAnsi="Calibri" w:eastAsia="Calibri" w:cs="Times New Roman"/>
          <w:kern w:val="2"/>
          <w:sz w:val="24"/>
          <w:szCs w:val="24"/>
          <w:lang w:val="es-ES" w:eastAsia="zh-CN" w:bidi="ar"/>
        </w:rPr>
        <w:t xml:space="preserve"> de recurso de reposición</w:t>
      </w:r>
      <w:r>
        <w:rPr>
          <w:rFonts w:hint="eastAsia" w:ascii="Calibri" w:hAnsi="Calibri" w:eastAsia="Calibri" w:cs="Times New Roman"/>
          <w:kern w:val="2"/>
          <w:sz w:val="24"/>
          <w:szCs w:val="24"/>
          <w:lang w:eastAsia="zh-CN" w:bidi="ar"/>
        </w:rPr>
        <w:t>, se sirva admitirlo y, previos los trámites legales oportunos:</w:t>
      </w:r>
    </w:p>
    <w:p w14:paraId="11A4A814">
      <w:pPr>
        <w:keepNext w:val="0"/>
        <w:keepLines w:val="0"/>
        <w:widowControl/>
        <w:numPr>
          <w:ilvl w:val="0"/>
          <w:numId w:val="1"/>
        </w:numPr>
        <w:suppressLineNumbers w:val="0"/>
        <w:spacing w:before="0" w:beforeAutospacing="0" w:after="160" w:afterAutospacing="0" w:line="256" w:lineRule="auto"/>
        <w:ind w:left="720" w:right="0" w:hanging="360"/>
        <w:jc w:val="both"/>
        <w:rPr>
          <w:rFonts w:hint="eastAsia" w:ascii="Calibri" w:hAnsi="Calibri" w:eastAsia="Calibri" w:cs="Times New Roman"/>
          <w:kern w:val="2"/>
          <w:sz w:val="24"/>
          <w:szCs w:val="24"/>
          <w:lang w:eastAsia="en-US"/>
        </w:rPr>
      </w:pPr>
      <w:r>
        <w:rPr>
          <w:rFonts w:hint="eastAsia" w:ascii="Calibri" w:hAnsi="Calibri" w:eastAsia="Calibri" w:cs="Times New Roman"/>
          <w:kern w:val="2"/>
          <w:sz w:val="24"/>
          <w:szCs w:val="24"/>
          <w:lang w:eastAsia="en-US"/>
        </w:rPr>
        <w:t>Declare la nulidad o, subsidiariamente, la improcedencia de la liquidación impugnada por vulnerar los principios de igualdad, proporcionalidad, capacidad económica y legalidad tributaria, al generar una doble tributación y por incumplir la Ley 7/2022.</w:t>
      </w:r>
    </w:p>
    <w:p w14:paraId="3EAF2E5D">
      <w:pPr>
        <w:keepNext w:val="0"/>
        <w:keepLines w:val="0"/>
        <w:widowControl/>
        <w:numPr>
          <w:ilvl w:val="0"/>
          <w:numId w:val="1"/>
        </w:numPr>
        <w:suppressLineNumbers w:val="0"/>
        <w:spacing w:before="0" w:beforeAutospacing="0" w:after="160" w:afterAutospacing="0" w:line="256" w:lineRule="auto"/>
        <w:ind w:left="720" w:right="0" w:hanging="360"/>
        <w:jc w:val="both"/>
        <w:rPr>
          <w:rFonts w:hint="eastAsia" w:ascii="Calibri" w:hAnsi="Calibri" w:eastAsia="Calibri" w:cs="Times New Roman"/>
          <w:kern w:val="2"/>
          <w:sz w:val="24"/>
          <w:szCs w:val="24"/>
          <w:lang w:eastAsia="en-US"/>
        </w:rPr>
      </w:pPr>
      <w:r>
        <w:rPr>
          <w:rFonts w:hint="eastAsia" w:ascii="Calibri" w:hAnsi="Calibri" w:eastAsia="Calibri" w:cs="Times New Roman"/>
          <w:kern w:val="2"/>
          <w:sz w:val="24"/>
          <w:szCs w:val="24"/>
          <w:lang w:eastAsia="en-US"/>
        </w:rPr>
        <w:t>Reconozca el derecho del reclamante a la devolución de las cantidades indebidamente ingresadas, con los intereses legales correspondientes.</w:t>
      </w:r>
    </w:p>
    <w:p w14:paraId="7ED90A81">
      <w:pPr>
        <w:keepNext w:val="0"/>
        <w:keepLines w:val="0"/>
        <w:widowControl/>
        <w:suppressLineNumbers w:val="0"/>
        <w:spacing w:before="0" w:beforeAutospacing="0" w:after="160" w:afterAutospacing="0" w:line="256" w:lineRule="auto"/>
        <w:ind w:left="0" w:right="0"/>
        <w:jc w:val="both"/>
        <w:rPr>
          <w:rFonts w:hint="eastAsia" w:ascii="Calibri" w:hAnsi="Calibri" w:eastAsia="Calibri" w:cs="Times New Roman"/>
          <w:kern w:val="2"/>
          <w:sz w:val="24"/>
          <w:szCs w:val="24"/>
          <w:lang w:eastAsia="zh-CN" w:bidi="ar"/>
        </w:rPr>
      </w:pPr>
    </w:p>
    <w:p w14:paraId="3B672677">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kern w:val="2"/>
          <w:sz w:val="24"/>
          <w:szCs w:val="24"/>
          <w:lang w:eastAsia="zh-CN" w:bidi="ar"/>
        </w:rPr>
        <w:t>Por ser de Justicia que pido en [localidad], a [fecha].</w:t>
      </w:r>
    </w:p>
    <w:p w14:paraId="5D54C98E">
      <w:pPr>
        <w:keepNext w:val="0"/>
        <w:keepLines w:val="0"/>
        <w:widowControl/>
        <w:suppressLineNumbers w:val="0"/>
        <w:spacing w:before="0" w:beforeAutospacing="0" w:after="160" w:afterAutospacing="0" w:line="256" w:lineRule="auto"/>
        <w:ind w:left="0" w:right="0"/>
        <w:jc w:val="both"/>
        <w:rPr>
          <w:sz w:val="24"/>
          <w:szCs w:val="24"/>
        </w:rPr>
      </w:pPr>
      <w:r>
        <w:rPr>
          <w:rFonts w:hint="eastAsia" w:ascii="Calibri" w:hAnsi="Calibri" w:eastAsia="Calibri" w:cs="Times New Roman"/>
          <w:b/>
          <w:bCs/>
          <w:kern w:val="2"/>
          <w:sz w:val="24"/>
          <w:szCs w:val="24"/>
          <w:lang w:eastAsia="zh-CN" w:bidi="ar"/>
        </w:rPr>
        <w:t>Firma:</w:t>
      </w:r>
      <w:r>
        <w:rPr>
          <w:rFonts w:hint="eastAsia" w:ascii="Calibri" w:hAnsi="Calibri" w:eastAsia="Calibri" w:cs="Times New Roman"/>
          <w:kern w:val="2"/>
          <w:sz w:val="24"/>
          <w:szCs w:val="24"/>
          <w:lang w:eastAsia="zh-CN" w:bidi="ar"/>
        </w:rPr>
        <w:t xml:space="preserve"> ____________________</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[Nombre y apellidos]</w:t>
      </w:r>
      <w:r>
        <w:rPr>
          <w:rFonts w:hint="eastAsia" w:ascii="Calibri" w:hAnsi="Calibri" w:eastAsia="Calibri" w:cs="Times New Roman"/>
          <w:kern w:val="2"/>
          <w:sz w:val="24"/>
          <w:szCs w:val="24"/>
          <w:lang w:eastAsia="zh-CN" w:bidi="ar"/>
        </w:rPr>
        <w:br w:type="textWrapping"/>
      </w:r>
      <w:r>
        <w:rPr>
          <w:rFonts w:hint="eastAsia" w:ascii="Calibri" w:hAnsi="Calibri" w:eastAsia="Calibri" w:cs="Times New Roman"/>
          <w:kern w:val="2"/>
          <w:sz w:val="24"/>
          <w:szCs w:val="24"/>
          <w:lang w:eastAsia="zh-CN" w:bidi="ar"/>
        </w:rPr>
        <w:t>[DNI n.º _______]</w:t>
      </w:r>
    </w:p>
    <w:p w14:paraId="028A4570"/>
    <w:sectPr>
      <w:pgSz w:w="12240" w:h="15840"/>
      <w:pgMar w:top="1400" w:right="1702" w:bottom="1400" w:left="170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adea">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A29C0"/>
    <w:multiLevelType w:val="multilevel"/>
    <w:tmpl w:val="149A29C0"/>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6B2CC8"/>
    <w:rsid w:val="0F3B05B4"/>
    <w:rsid w:val="2BDE4907"/>
    <w:rsid w:val="53FE2BF7"/>
    <w:rsid w:val="739B6729"/>
    <w:rsid w:val="7D0D08E5"/>
    <w:rsid w:val="7E93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lang w:eastAsia="en-US"/>
    </w:rPr>
    <w:tblPr>
      <w:tblCellMar>
        <w:top w:w="0" w:type="dxa"/>
        <w:left w:w="100" w:type="dxa"/>
        <w:bottom w:w="0" w:type="dxa"/>
        <w:right w:w="100" w:type="dxa"/>
      </w:tblCellMar>
    </w:tblPr>
  </w:style>
  <w:style w:type="paragraph" w:customStyle="1" w:styleId="4">
    <w:name w:val="Default"/>
    <w:unhideWhenUsed/>
    <w:uiPriority w:val="99"/>
    <w:pPr>
      <w:widowControl w:val="0"/>
      <w:autoSpaceDE w:val="0"/>
      <w:autoSpaceDN w:val="0"/>
      <w:adjustRightInd w:val="0"/>
      <w:spacing w:beforeLines="0" w:afterLines="0"/>
    </w:pPr>
    <w:rPr>
      <w:rFonts w:hint="default" w:ascii="Caladea" w:hAnsi="Caladea" w:eastAsia="Caladea"/>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2025-11-07T13:42:00Z</dcterms:created>
  <dc:creator>Luis Herrera</dc:creator>
  <cp:lastModifiedBy>Luis Herrera</cp:lastModifiedBy>
  <dcterms:modified xsi:type="dcterms:W3CDTF">2025-11-27T17:22:12Z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453008F175E04958907495E7E539CACA_13</vt:lpwstr>
  </property>
</Properties>
</file>